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25" w:rsidRPr="001E3BB0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>про роботу зі зверненнями громадян, що надійшли за період з 01.01.2021 по 3</w:t>
      </w:r>
      <w:r w:rsidR="001709C6">
        <w:rPr>
          <w:b/>
          <w:sz w:val="36"/>
          <w:szCs w:val="36"/>
        </w:rPr>
        <w:t>1</w:t>
      </w:r>
      <w:r w:rsidR="00F54E7F" w:rsidRPr="008B49D1">
        <w:rPr>
          <w:b/>
          <w:sz w:val="36"/>
          <w:szCs w:val="36"/>
        </w:rPr>
        <w:t>.</w:t>
      </w:r>
      <w:r w:rsidR="001709C6">
        <w:rPr>
          <w:b/>
          <w:sz w:val="36"/>
          <w:szCs w:val="36"/>
        </w:rPr>
        <w:t>12</w:t>
      </w:r>
      <w:r w:rsidR="00F54E7F" w:rsidRPr="008B49D1">
        <w:rPr>
          <w:b/>
          <w:sz w:val="36"/>
          <w:szCs w:val="36"/>
        </w:rPr>
        <w:t>.</w:t>
      </w:r>
      <w:r w:rsidRPr="008B49D1">
        <w:rPr>
          <w:b/>
          <w:sz w:val="36"/>
          <w:szCs w:val="36"/>
        </w:rPr>
        <w:t>202</w:t>
      </w:r>
      <w:r w:rsidR="00F54E7F" w:rsidRPr="008B49D1">
        <w:rPr>
          <w:b/>
          <w:sz w:val="36"/>
          <w:szCs w:val="36"/>
        </w:rPr>
        <w:t>1</w:t>
      </w:r>
      <w:r w:rsidRPr="008B49D1">
        <w:rPr>
          <w:b/>
          <w:sz w:val="36"/>
          <w:szCs w:val="36"/>
        </w:rPr>
        <w:t xml:space="preserve"> року</w:t>
      </w: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Так, впродовж 20</w:t>
      </w:r>
      <w:r>
        <w:rPr>
          <w:sz w:val="28"/>
          <w:szCs w:val="28"/>
          <w:lang w:val="ru-RU"/>
        </w:rPr>
        <w:t>2</w:t>
      </w:r>
      <w:r w:rsidR="001E3BB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1709C6">
        <w:rPr>
          <w:sz w:val="28"/>
          <w:szCs w:val="28"/>
        </w:rPr>
        <w:t>1051</w:t>
      </w:r>
      <w:r w:rsidRPr="008D4AE0">
        <w:rPr>
          <w:sz w:val="28"/>
          <w:szCs w:val="28"/>
        </w:rPr>
        <w:t xml:space="preserve"> </w:t>
      </w:r>
      <w:r w:rsidR="0044765C" w:rsidRPr="0044765C">
        <w:rPr>
          <w:sz w:val="28"/>
          <w:szCs w:val="28"/>
        </w:rPr>
        <w:t xml:space="preserve">пропозицій, заяв і скарг громадян, з них заяви – </w:t>
      </w:r>
      <w:r w:rsidR="0044765C">
        <w:rPr>
          <w:sz w:val="28"/>
          <w:szCs w:val="28"/>
        </w:rPr>
        <w:t>875</w:t>
      </w:r>
      <w:r w:rsidR="0044765C" w:rsidRPr="0044765C">
        <w:rPr>
          <w:sz w:val="28"/>
          <w:szCs w:val="28"/>
        </w:rPr>
        <w:t xml:space="preserve">, скарги – </w:t>
      </w:r>
      <w:r w:rsidR="0044765C">
        <w:rPr>
          <w:sz w:val="28"/>
          <w:szCs w:val="28"/>
        </w:rPr>
        <w:t>71</w:t>
      </w:r>
      <w:r w:rsidR="0044765C" w:rsidRPr="0044765C">
        <w:rPr>
          <w:sz w:val="28"/>
          <w:szCs w:val="28"/>
        </w:rPr>
        <w:t xml:space="preserve">, пропозиції – </w:t>
      </w:r>
      <w:r w:rsidR="0044765C">
        <w:rPr>
          <w:sz w:val="28"/>
          <w:szCs w:val="28"/>
        </w:rPr>
        <w:t xml:space="preserve">105 </w:t>
      </w:r>
      <w:r w:rsidRPr="008D4AE0">
        <w:rPr>
          <w:sz w:val="28"/>
          <w:szCs w:val="28"/>
        </w:rPr>
        <w:t>звернен</w:t>
      </w:r>
      <w:r w:rsidR="0044765C">
        <w:rPr>
          <w:sz w:val="28"/>
          <w:szCs w:val="28"/>
        </w:rPr>
        <w:t>ь</w:t>
      </w:r>
      <w:r w:rsidRPr="008D4AE0">
        <w:rPr>
          <w:sz w:val="28"/>
          <w:szCs w:val="28"/>
        </w:rPr>
        <w:t xml:space="preserve">. </w:t>
      </w:r>
      <w:r w:rsidR="001709C6" w:rsidRPr="001709C6">
        <w:rPr>
          <w:sz w:val="28"/>
          <w:szCs w:val="28"/>
        </w:rPr>
        <w:t xml:space="preserve">Розподіл за видами звернень до </w:t>
      </w:r>
      <w:r w:rsidR="00105AE8">
        <w:rPr>
          <w:sz w:val="28"/>
          <w:szCs w:val="28"/>
        </w:rPr>
        <w:t>інспекції</w:t>
      </w:r>
      <w:r w:rsidR="001709C6" w:rsidRPr="001709C6">
        <w:rPr>
          <w:sz w:val="28"/>
          <w:szCs w:val="28"/>
        </w:rPr>
        <w:t>, що надійшли у 2021 ро</w:t>
      </w:r>
      <w:r w:rsidR="00105AE8">
        <w:rPr>
          <w:sz w:val="28"/>
          <w:szCs w:val="28"/>
        </w:rPr>
        <w:t>ці</w:t>
      </w:r>
      <w:r w:rsidR="001709C6" w:rsidRPr="001709C6">
        <w:rPr>
          <w:sz w:val="28"/>
          <w:szCs w:val="28"/>
        </w:rPr>
        <w:t>, наведений у діаграмі 1.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bookmarkStart w:id="0" w:name="_GoBack"/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15050" cy="4114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39540B">
        <w:rPr>
          <w:sz w:val="28"/>
          <w:szCs w:val="28"/>
        </w:rPr>
        <w:t>771</w:t>
      </w:r>
      <w:r w:rsidRPr="001709C6">
        <w:rPr>
          <w:sz w:val="28"/>
          <w:szCs w:val="28"/>
        </w:rPr>
        <w:t xml:space="preserve"> або </w:t>
      </w:r>
      <w:r w:rsidR="0039540B">
        <w:rPr>
          <w:sz w:val="28"/>
          <w:szCs w:val="28"/>
        </w:rPr>
        <w:t>73,36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39540B">
        <w:rPr>
          <w:sz w:val="28"/>
          <w:szCs w:val="28"/>
        </w:rPr>
        <w:t>280</w:t>
      </w:r>
      <w:r w:rsidRPr="001709C6">
        <w:rPr>
          <w:sz w:val="28"/>
          <w:szCs w:val="28"/>
        </w:rPr>
        <w:t xml:space="preserve"> (</w:t>
      </w:r>
      <w:r w:rsidR="0039540B">
        <w:rPr>
          <w:sz w:val="28"/>
          <w:szCs w:val="28"/>
        </w:rPr>
        <w:t>26,64</w:t>
      </w:r>
      <w:r w:rsidRPr="001709C6">
        <w:rPr>
          <w:sz w:val="28"/>
          <w:szCs w:val="28"/>
        </w:rPr>
        <w:t xml:space="preserve"> %), у них підписантів – </w:t>
      </w:r>
      <w:r w:rsidR="0039540B">
        <w:rPr>
          <w:sz w:val="28"/>
          <w:szCs w:val="28"/>
        </w:rPr>
        <w:t>1479</w:t>
      </w:r>
      <w:r w:rsidRPr="001709C6">
        <w:rPr>
          <w:sz w:val="28"/>
          <w:szCs w:val="28"/>
        </w:rPr>
        <w:t xml:space="preserve"> осіб.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lastRenderedPageBreak/>
        <w:t xml:space="preserve">За ознакою надходження: первинне – </w:t>
      </w:r>
      <w:r w:rsidR="00BC15F4">
        <w:rPr>
          <w:sz w:val="28"/>
          <w:szCs w:val="28"/>
        </w:rPr>
        <w:t>877</w:t>
      </w:r>
      <w:r w:rsidRPr="001709C6">
        <w:rPr>
          <w:sz w:val="28"/>
          <w:szCs w:val="28"/>
        </w:rPr>
        <w:t xml:space="preserve"> (</w:t>
      </w:r>
      <w:r w:rsidR="00BC15F4">
        <w:rPr>
          <w:sz w:val="28"/>
          <w:szCs w:val="28"/>
        </w:rPr>
        <w:t>83,45</w:t>
      </w:r>
      <w:r w:rsidRPr="001709C6">
        <w:rPr>
          <w:sz w:val="28"/>
          <w:szCs w:val="28"/>
        </w:rPr>
        <w:t xml:space="preserve"> %), дублетне – </w:t>
      </w:r>
      <w:r w:rsidR="00BC15F4">
        <w:rPr>
          <w:sz w:val="28"/>
          <w:szCs w:val="28"/>
        </w:rPr>
        <w:t>98</w:t>
      </w:r>
      <w:r w:rsidRPr="001709C6">
        <w:rPr>
          <w:sz w:val="28"/>
          <w:szCs w:val="28"/>
        </w:rPr>
        <w:t xml:space="preserve"> (</w:t>
      </w:r>
      <w:r w:rsidR="00BC15F4">
        <w:rPr>
          <w:sz w:val="28"/>
          <w:szCs w:val="28"/>
        </w:rPr>
        <w:t>9,32</w:t>
      </w:r>
      <w:r w:rsidRPr="001709C6">
        <w:rPr>
          <w:sz w:val="28"/>
          <w:szCs w:val="28"/>
        </w:rPr>
        <w:t xml:space="preserve"> %), неодноразове – </w:t>
      </w:r>
      <w:r w:rsidR="00BC15F4">
        <w:rPr>
          <w:sz w:val="28"/>
          <w:szCs w:val="28"/>
        </w:rPr>
        <w:t>23</w:t>
      </w:r>
      <w:r w:rsidRPr="001709C6">
        <w:rPr>
          <w:sz w:val="28"/>
          <w:szCs w:val="28"/>
        </w:rPr>
        <w:t xml:space="preserve"> (</w:t>
      </w:r>
      <w:r w:rsidR="00BC15F4">
        <w:rPr>
          <w:sz w:val="28"/>
          <w:szCs w:val="28"/>
        </w:rPr>
        <w:t>2,19</w:t>
      </w:r>
      <w:r w:rsidRPr="001709C6">
        <w:rPr>
          <w:sz w:val="28"/>
          <w:szCs w:val="28"/>
        </w:rPr>
        <w:t xml:space="preserve"> %).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032C54">
        <w:rPr>
          <w:sz w:val="28"/>
          <w:szCs w:val="28"/>
        </w:rPr>
        <w:t>53</w:t>
      </w:r>
      <w:r w:rsidRPr="001709C6">
        <w:rPr>
          <w:sz w:val="28"/>
          <w:szCs w:val="28"/>
        </w:rPr>
        <w:t xml:space="preserve"> (</w:t>
      </w:r>
      <w:r w:rsidR="00032C54">
        <w:rPr>
          <w:sz w:val="28"/>
          <w:szCs w:val="28"/>
        </w:rPr>
        <w:t>5,04</w:t>
      </w:r>
      <w:r w:rsidRPr="001709C6">
        <w:rPr>
          <w:sz w:val="28"/>
          <w:szCs w:val="28"/>
        </w:rPr>
        <w:t xml:space="preserve"> %) повторних звернень. </w:t>
      </w: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E438D7">
        <w:rPr>
          <w:sz w:val="28"/>
          <w:szCs w:val="28"/>
        </w:rPr>
        <w:t>2</w:t>
      </w:r>
      <w:r w:rsidR="006C3C18">
        <w:rPr>
          <w:sz w:val="28"/>
          <w:szCs w:val="28"/>
        </w:rPr>
        <w:t>77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6C3C18">
        <w:rPr>
          <w:sz w:val="28"/>
          <w:szCs w:val="28"/>
        </w:rPr>
        <w:t>ь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6C3C18">
        <w:rPr>
          <w:sz w:val="28"/>
          <w:szCs w:val="28"/>
        </w:rPr>
        <w:t>224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 xml:space="preserve">– </w:t>
      </w:r>
      <w:r w:rsidR="006C3C18">
        <w:rPr>
          <w:sz w:val="28"/>
          <w:szCs w:val="28"/>
        </w:rPr>
        <w:t>318, під час особистого прийому - 232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01.01.2021 по 3</w:t>
      </w:r>
      <w:r w:rsidR="00EA0DEA">
        <w:rPr>
          <w:sz w:val="28"/>
          <w:szCs w:val="28"/>
        </w:rPr>
        <w:t>1</w:t>
      </w:r>
      <w:r w:rsidR="00E438D7">
        <w:rPr>
          <w:sz w:val="28"/>
          <w:szCs w:val="28"/>
        </w:rPr>
        <w:t>.</w:t>
      </w:r>
      <w:r w:rsidR="00EA0DEA">
        <w:rPr>
          <w:sz w:val="28"/>
          <w:szCs w:val="28"/>
        </w:rPr>
        <w:t>12</w:t>
      </w:r>
      <w:r w:rsidR="00E438D7">
        <w:rPr>
          <w:sz w:val="28"/>
          <w:szCs w:val="28"/>
        </w:rPr>
        <w:t>.2021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E438D7">
        <w:rPr>
          <w:sz w:val="28"/>
          <w:szCs w:val="28"/>
        </w:rPr>
        <w:t>2</w:t>
      </w:r>
      <w:r w:rsidR="00EA0DEA">
        <w:rPr>
          <w:sz w:val="28"/>
          <w:szCs w:val="28"/>
        </w:rPr>
        <w:t>40</w:t>
      </w:r>
      <w:r w:rsidRPr="008B49D1">
        <w:rPr>
          <w:sz w:val="28"/>
          <w:szCs w:val="28"/>
        </w:rPr>
        <w:t>)</w:t>
      </w:r>
    </w:p>
    <w:p w:rsidR="00396BFC" w:rsidRPr="008B49D1" w:rsidRDefault="00EA0DEA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морської акваторії</w:t>
      </w:r>
      <w:r w:rsidR="00396BFC" w:rsidRPr="008B49D1">
        <w:rPr>
          <w:sz w:val="28"/>
          <w:szCs w:val="28"/>
        </w:rPr>
        <w:t xml:space="preserve"> (</w:t>
      </w:r>
      <w:r w:rsidR="00E438D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96BFC"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EA0DEA">
        <w:rPr>
          <w:sz w:val="28"/>
          <w:szCs w:val="28"/>
        </w:rPr>
        <w:t>124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E438D7">
        <w:rPr>
          <w:sz w:val="28"/>
          <w:szCs w:val="28"/>
        </w:rPr>
        <w:t>1</w:t>
      </w:r>
      <w:r w:rsidR="00EA0DEA">
        <w:rPr>
          <w:sz w:val="28"/>
          <w:szCs w:val="28"/>
        </w:rPr>
        <w:t>17</w:t>
      </w:r>
      <w:r w:rsidRPr="008B49D1">
        <w:rPr>
          <w:sz w:val="28"/>
          <w:szCs w:val="28"/>
        </w:rPr>
        <w:t xml:space="preserve">); </w:t>
      </w:r>
    </w:p>
    <w:p w:rsidR="00396BFC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видобування корисних копалин</w:t>
      </w:r>
      <w:r w:rsidR="00396BFC" w:rsidRPr="008B49D1">
        <w:rPr>
          <w:sz w:val="28"/>
          <w:szCs w:val="28"/>
        </w:rPr>
        <w:t xml:space="preserve"> (</w:t>
      </w:r>
      <w:r w:rsidR="00EA0DEA">
        <w:rPr>
          <w:sz w:val="28"/>
          <w:szCs w:val="28"/>
        </w:rPr>
        <w:t>7</w:t>
      </w:r>
      <w:r w:rsidR="00396BFC"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поводження з тваринами (</w:t>
      </w:r>
      <w:r w:rsidR="00E0020C">
        <w:rPr>
          <w:sz w:val="28"/>
          <w:szCs w:val="28"/>
        </w:rPr>
        <w:t>1</w:t>
      </w:r>
      <w:r w:rsidR="00E438D7">
        <w:rPr>
          <w:sz w:val="28"/>
          <w:szCs w:val="28"/>
        </w:rPr>
        <w:t>4</w:t>
      </w:r>
      <w:r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EA0DEA">
        <w:rPr>
          <w:sz w:val="28"/>
          <w:szCs w:val="28"/>
        </w:rPr>
        <w:t>340</w:t>
      </w:r>
      <w:r w:rsidRPr="008B49D1">
        <w:rPr>
          <w:sz w:val="28"/>
          <w:szCs w:val="28"/>
        </w:rPr>
        <w:t>)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E438D7">
        <w:rPr>
          <w:sz w:val="28"/>
          <w:szCs w:val="28"/>
        </w:rPr>
        <w:t>1</w:t>
      </w:r>
      <w:r w:rsidR="00EA0DEA">
        <w:rPr>
          <w:sz w:val="28"/>
          <w:szCs w:val="28"/>
        </w:rPr>
        <w:t>85</w:t>
      </w:r>
      <w:r w:rsidRPr="008B49D1">
        <w:rPr>
          <w:sz w:val="28"/>
          <w:szCs w:val="28"/>
        </w:rPr>
        <w:t>)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257925" cy="4419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r w:rsidRPr="00210B2C">
        <w:rPr>
          <w:sz w:val="28"/>
          <w:szCs w:val="28"/>
        </w:rPr>
        <w:lastRenderedPageBreak/>
        <w:t>Звернення громадян розглянуто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396BFC" w:rsidRDefault="00396BFC" w:rsidP="00396BFC">
      <w:pPr>
        <w:ind w:firstLine="708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 та графік особистого прийому громадян.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210B2C" w:rsidRPr="00641292" w:rsidRDefault="00210B2C" w:rsidP="00396BFC">
      <w:pPr>
        <w:ind w:firstLine="708"/>
        <w:jc w:val="both"/>
        <w:rPr>
          <w:sz w:val="26"/>
          <w:szCs w:val="26"/>
        </w:rPr>
      </w:pP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A6604C" w:rsidRDefault="00CA4D25" w:rsidP="00396BFC">
      <w:pPr>
        <w:ind w:firstLine="709"/>
        <w:jc w:val="both"/>
        <w:rPr>
          <w:sz w:val="28"/>
        </w:rPr>
      </w:pPr>
    </w:p>
    <w:sectPr w:rsidR="00CA4D25" w:rsidRPr="00A6604C" w:rsidSect="00223AC9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F2" w:rsidRDefault="00B922F2" w:rsidP="004B6C3D">
      <w:r>
        <w:separator/>
      </w:r>
    </w:p>
  </w:endnote>
  <w:endnote w:type="continuationSeparator" w:id="0">
    <w:p w:rsidR="00B922F2" w:rsidRDefault="00B922F2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F2" w:rsidRDefault="00B922F2" w:rsidP="004B6C3D">
      <w:r>
        <w:separator/>
      </w:r>
    </w:p>
  </w:footnote>
  <w:footnote w:type="continuationSeparator" w:id="0">
    <w:p w:rsidR="00B922F2" w:rsidRDefault="00B922F2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B922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3F">
      <w:rPr>
        <w:rStyle w:val="a5"/>
        <w:noProof/>
      </w:rPr>
      <w:t>3</w:t>
    </w:r>
    <w:r>
      <w:rPr>
        <w:rStyle w:val="a5"/>
      </w:rPr>
      <w:fldChar w:fldCharType="end"/>
    </w:r>
  </w:p>
  <w:p w:rsidR="006F3E6D" w:rsidRDefault="00B922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105AE8"/>
    <w:rsid w:val="00162608"/>
    <w:rsid w:val="001709C6"/>
    <w:rsid w:val="001C412C"/>
    <w:rsid w:val="001D1805"/>
    <w:rsid w:val="001E3BB0"/>
    <w:rsid w:val="0020778D"/>
    <w:rsid w:val="00210B2C"/>
    <w:rsid w:val="00223AC9"/>
    <w:rsid w:val="002679D9"/>
    <w:rsid w:val="00295891"/>
    <w:rsid w:val="002964E8"/>
    <w:rsid w:val="00296FAB"/>
    <w:rsid w:val="002A72E4"/>
    <w:rsid w:val="0039540B"/>
    <w:rsid w:val="00396BFC"/>
    <w:rsid w:val="0044765C"/>
    <w:rsid w:val="004A1ADA"/>
    <w:rsid w:val="004B6C3D"/>
    <w:rsid w:val="004B791A"/>
    <w:rsid w:val="004F333F"/>
    <w:rsid w:val="005A1FEF"/>
    <w:rsid w:val="005D3EB9"/>
    <w:rsid w:val="006C3C18"/>
    <w:rsid w:val="006C5EC2"/>
    <w:rsid w:val="007C57C2"/>
    <w:rsid w:val="00834F7D"/>
    <w:rsid w:val="008877FB"/>
    <w:rsid w:val="0089684D"/>
    <w:rsid w:val="008B49D1"/>
    <w:rsid w:val="008C2C35"/>
    <w:rsid w:val="008D18E4"/>
    <w:rsid w:val="008E52D9"/>
    <w:rsid w:val="008F172A"/>
    <w:rsid w:val="008F52A3"/>
    <w:rsid w:val="00957D85"/>
    <w:rsid w:val="009846E7"/>
    <w:rsid w:val="009864C8"/>
    <w:rsid w:val="00993E12"/>
    <w:rsid w:val="009F3D2D"/>
    <w:rsid w:val="00A01B0B"/>
    <w:rsid w:val="00A6604C"/>
    <w:rsid w:val="00A706B6"/>
    <w:rsid w:val="00A73A86"/>
    <w:rsid w:val="00B75286"/>
    <w:rsid w:val="00B922F2"/>
    <w:rsid w:val="00BB18F4"/>
    <w:rsid w:val="00BC15F4"/>
    <w:rsid w:val="00C3501F"/>
    <w:rsid w:val="00C50E2D"/>
    <w:rsid w:val="00C91580"/>
    <w:rsid w:val="00CA4D25"/>
    <w:rsid w:val="00CB1969"/>
    <w:rsid w:val="00D74A50"/>
    <w:rsid w:val="00E0020C"/>
    <w:rsid w:val="00E438D7"/>
    <w:rsid w:val="00E83BDD"/>
    <w:rsid w:val="00EA0DEA"/>
    <w:rsid w:val="00EB08CE"/>
    <w:rsid w:val="00EE1404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65D3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 до інспекції,                                   що надійшли  у 2021 році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2021 році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AA490A53-81E8-44DD-B5F8-A69D296515DB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D1242C83-DD99-44FA-9430-697C0CF6F6C3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88B9AD2-8043-4BFD-9DA5-767E07273BFE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D1A1E37-7D50-495D-9C43-C0945E700A3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44397B-8D3B-4DCC-82AE-FA76084F14B4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5D1F26B-4E33-41E5-AA0B-9BE0E5C91153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1">
                  <c:v>71</c:v>
                </c:pt>
                <c:pt idx="2">
                  <c:v>875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918822932521562"/>
          <c:y val="1.09469074986316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explosion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explosion val="8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B209D19-204E-4AFC-8D94-309F76E7C56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FD8669A0-3D47-425F-ADB0-83F84487648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6CD5FB5-47EB-4B00-859E-4167F579143B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14A32365-65CC-4401-B343-A6036C6C93A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790DE17-4E9A-44B8-937C-373391EFF95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BA1D4292-A816-43B8-B5F8-76381F4EFBD5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5036630-FFF3-4935-B49F-403C7DAA857E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71B5CDD8-61B5-4AE7-9F4B-B28F69F4BE9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69A2505-841B-4095-BDC2-85AF8C90B28D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99A3BF46-EFAF-4BA9-8ED3-2595B5813A8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30378C4-2458-4E35-B3CE-DF8D87CA2EB0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78136997-0123-482D-A0BE-FA6FC9360DC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F52-41E8-BFF4-F685FA1939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F961CBC-3DF7-41BB-B44F-FF733BAE10A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8AA9E45-FDC3-42D1-8A6E-E4DE9EF3A45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F52-41E8-BFF4-F685FA19394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BE7F087-B144-4818-BEB5-10F491CDA21D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C5750227-B4EC-439F-B339-4D400C9DD6A3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несанкціоновані звалища побутових відходів </c:v>
                </c:pt>
                <c:pt idx="1">
                  <c:v>недотримання законодавства про охорону, раціональне використання вод та відтворення водних ресурсів </c:v>
                </c:pt>
                <c:pt idx="2">
                  <c:v>пошкодження зелених насаджень та лісу </c:v>
                </c:pt>
                <c:pt idx="3">
                  <c:v>забруднення атмосферного повітря</c:v>
                </c:pt>
                <c:pt idx="4">
                  <c:v>видобування корисних копалин </c:v>
                </c:pt>
                <c:pt idx="5">
                  <c:v>поводження з тваринами </c:v>
                </c:pt>
                <c:pt idx="6">
                  <c:v>діяльність підприємств </c:v>
                </c:pt>
                <c:pt idx="7">
                  <c:v>інші питання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240</c:v>
                </c:pt>
                <c:pt idx="1">
                  <c:v>24</c:v>
                </c:pt>
                <c:pt idx="2">
                  <c:v>124</c:v>
                </c:pt>
                <c:pt idx="3">
                  <c:v>117</c:v>
                </c:pt>
                <c:pt idx="4">
                  <c:v>7</c:v>
                </c:pt>
                <c:pt idx="5">
                  <c:v>14</c:v>
                </c:pt>
                <c:pt idx="6">
                  <c:v>340</c:v>
                </c:pt>
                <c:pt idx="7">
                  <c:v>185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Лист1!$A$2:$A$9</c15:f>
                <c15:dlblRangeCache>
                  <c:ptCount val="8"/>
                  <c:pt idx="0">
                    <c:v>несанкціоновані звалища побутових відходів </c:v>
                  </c:pt>
                  <c:pt idx="1">
                    <c:v>недотримання законодавства про охорону, раціональне використання вод та відтворення водних ресурсів </c:v>
                  </c:pt>
                  <c:pt idx="2">
                    <c:v>пошкодження зелених насаджень та лісу </c:v>
                  </c:pt>
                  <c:pt idx="3">
                    <c:v>забруднення атмосферного повітря</c:v>
                  </c:pt>
                  <c:pt idx="4">
                    <c:v>видобування корисних копалин </c:v>
                  </c:pt>
                  <c:pt idx="5">
                    <c:v>поводження з тваринами </c:v>
                  </c:pt>
                  <c:pt idx="6">
                    <c:v>діяльність підприємств </c:v>
                  </c:pt>
                  <c:pt idx="7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C4E2-63E7-488D-BCC3-71F715F9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24</cp:revision>
  <dcterms:created xsi:type="dcterms:W3CDTF">2020-07-15T12:05:00Z</dcterms:created>
  <dcterms:modified xsi:type="dcterms:W3CDTF">2022-01-17T09:20:00Z</dcterms:modified>
</cp:coreProperties>
</file>