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E1" w:rsidRPr="002B06E1" w:rsidRDefault="002B06E1" w:rsidP="002B06E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6E1">
        <w:rPr>
          <w:rFonts w:ascii="Times New Roman" w:hAnsi="Times New Roman" w:cs="Times New Roman"/>
          <w:b/>
          <w:sz w:val="24"/>
          <w:szCs w:val="24"/>
        </w:rPr>
        <w:t>2022 рік</w:t>
      </w:r>
    </w:p>
    <w:p w:rsidR="002B06E1" w:rsidRDefault="002B06E1" w:rsidP="002B06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06E1" w:rsidRDefault="002B06E1" w:rsidP="001D7A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7CA">
        <w:rPr>
          <w:rFonts w:ascii="Times New Roman" w:hAnsi="Times New Roman" w:cs="Times New Roman"/>
          <w:sz w:val="24"/>
          <w:szCs w:val="24"/>
        </w:rPr>
        <w:t xml:space="preserve">Державна екологічна інспекція Південно-Західного округу (Миколаївська та Одеська області) (далі – Інспекція) повідомляє, що </w:t>
      </w:r>
      <w:r w:rsidRPr="004A0AC4">
        <w:rPr>
          <w:rFonts w:ascii="Times New Roman" w:hAnsi="Times New Roman" w:cs="Times New Roman"/>
          <w:sz w:val="24"/>
          <w:szCs w:val="24"/>
        </w:rPr>
        <w:t xml:space="preserve">організація та проведення процедур </w:t>
      </w:r>
      <w:proofErr w:type="spellStart"/>
      <w:r w:rsidRPr="004A0AC4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4A0AC4" w:rsidRPr="004A0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/спрощених </w:t>
      </w:r>
      <w:proofErr w:type="spellStart"/>
      <w:r w:rsidR="004A0AC4" w:rsidRPr="004A0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закупівель</w:t>
      </w:r>
      <w:proofErr w:type="spellEnd"/>
      <w:r w:rsidRPr="004A0AC4">
        <w:rPr>
          <w:rFonts w:ascii="Times New Roman" w:hAnsi="Times New Roman" w:cs="Times New Roman"/>
          <w:sz w:val="24"/>
          <w:szCs w:val="24"/>
        </w:rPr>
        <w:t xml:space="preserve"> з метою забезпечення максимальної ефективності використання бюджетних коштів, відкритості та</w:t>
      </w:r>
      <w:r w:rsidRPr="00F257CA">
        <w:rPr>
          <w:rFonts w:ascii="Times New Roman" w:hAnsi="Times New Roman" w:cs="Times New Roman"/>
          <w:sz w:val="24"/>
          <w:szCs w:val="24"/>
        </w:rPr>
        <w:t xml:space="preserve"> прозорості на всіх стадіях заку</w:t>
      </w:r>
      <w:r w:rsidR="001D7AD0">
        <w:rPr>
          <w:rFonts w:ascii="Times New Roman" w:hAnsi="Times New Roman" w:cs="Times New Roman"/>
          <w:sz w:val="24"/>
          <w:szCs w:val="24"/>
        </w:rPr>
        <w:t xml:space="preserve">півлі товарів, робіт та послуг здійснюється </w:t>
      </w:r>
      <w:r w:rsidRPr="00F257CA">
        <w:rPr>
          <w:rFonts w:ascii="Times New Roman" w:hAnsi="Times New Roman" w:cs="Times New Roman"/>
          <w:sz w:val="24"/>
          <w:szCs w:val="24"/>
        </w:rPr>
        <w:t>відповідно до Закону України «Про публічні закупівлі», наказу Міністерства економі</w:t>
      </w:r>
      <w:r w:rsidR="004A0AC4">
        <w:rPr>
          <w:rFonts w:ascii="Times New Roman" w:hAnsi="Times New Roman" w:cs="Times New Roman"/>
          <w:sz w:val="24"/>
          <w:szCs w:val="24"/>
        </w:rPr>
        <w:t>ки від 08.06.2021</w:t>
      </w:r>
      <w:r w:rsidRPr="00F257CA">
        <w:rPr>
          <w:rFonts w:ascii="Times New Roman" w:hAnsi="Times New Roman" w:cs="Times New Roman"/>
          <w:sz w:val="24"/>
          <w:szCs w:val="24"/>
        </w:rPr>
        <w:t xml:space="preserve"> року №</w:t>
      </w:r>
      <w:r w:rsidR="004A0AC4">
        <w:rPr>
          <w:rFonts w:ascii="Times New Roman" w:hAnsi="Times New Roman" w:cs="Times New Roman"/>
          <w:sz w:val="24"/>
          <w:szCs w:val="24"/>
        </w:rPr>
        <w:t xml:space="preserve"> 10</w:t>
      </w:r>
      <w:r w:rsidRPr="00F257CA">
        <w:rPr>
          <w:rFonts w:ascii="Times New Roman" w:hAnsi="Times New Roman" w:cs="Times New Roman"/>
          <w:sz w:val="24"/>
          <w:szCs w:val="24"/>
        </w:rPr>
        <w:t xml:space="preserve"> «</w:t>
      </w:r>
      <w:r w:rsidR="004A0AC4" w:rsidRPr="004A0AC4">
        <w:rPr>
          <w:rFonts w:ascii="Times New Roman" w:hAnsi="Times New Roman" w:cs="Times New Roman"/>
          <w:sz w:val="24"/>
          <w:szCs w:val="24"/>
        </w:rPr>
        <w:t>Про затвердження Примірного положення про уповноважену особу</w:t>
      </w:r>
      <w:r w:rsidRPr="00F257CA">
        <w:rPr>
          <w:rFonts w:ascii="Times New Roman" w:hAnsi="Times New Roman" w:cs="Times New Roman"/>
          <w:sz w:val="24"/>
          <w:szCs w:val="24"/>
        </w:rPr>
        <w:t>»</w:t>
      </w:r>
      <w:r w:rsidR="001D7AD0">
        <w:rPr>
          <w:rFonts w:ascii="Times New Roman" w:hAnsi="Times New Roman" w:cs="Times New Roman"/>
          <w:sz w:val="24"/>
          <w:szCs w:val="24"/>
        </w:rPr>
        <w:t>, постанови Кабінету міністрів України від 28.02.2022 року № 169 «</w:t>
      </w:r>
      <w:r w:rsidR="001D7AD0" w:rsidRPr="001D7AD0">
        <w:rPr>
          <w:rFonts w:ascii="Times New Roman" w:hAnsi="Times New Roman" w:cs="Times New Roman"/>
          <w:sz w:val="24"/>
          <w:szCs w:val="24"/>
        </w:rPr>
        <w:t xml:space="preserve">Деякі питання здійснення оборонних </w:t>
      </w:r>
      <w:proofErr w:type="spellStart"/>
      <w:r w:rsidR="001D7AD0" w:rsidRPr="001D7AD0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1D7AD0" w:rsidRPr="001D7AD0">
        <w:rPr>
          <w:rFonts w:ascii="Times New Roman" w:hAnsi="Times New Roman" w:cs="Times New Roman"/>
          <w:sz w:val="24"/>
          <w:szCs w:val="24"/>
        </w:rPr>
        <w:t xml:space="preserve"> товарів, робіт і послуг в умовах воєнного стану</w:t>
      </w:r>
      <w:r w:rsidR="001D7AD0">
        <w:rPr>
          <w:rFonts w:ascii="Times New Roman" w:hAnsi="Times New Roman" w:cs="Times New Roman"/>
          <w:sz w:val="24"/>
          <w:szCs w:val="24"/>
        </w:rPr>
        <w:t xml:space="preserve">», постанови Кабінету міністрів України від </w:t>
      </w:r>
      <w:r w:rsidR="009A7B66">
        <w:rPr>
          <w:rFonts w:ascii="Times New Roman" w:hAnsi="Times New Roman" w:cs="Times New Roman"/>
          <w:sz w:val="24"/>
          <w:szCs w:val="24"/>
        </w:rPr>
        <w:t>12.10.20</w:t>
      </w:r>
      <w:r w:rsidR="001D7AD0">
        <w:rPr>
          <w:rFonts w:ascii="Times New Roman" w:hAnsi="Times New Roman" w:cs="Times New Roman"/>
          <w:sz w:val="24"/>
          <w:szCs w:val="24"/>
        </w:rPr>
        <w:t xml:space="preserve">22 р. № </w:t>
      </w:r>
      <w:r w:rsidR="009A7B66">
        <w:rPr>
          <w:rFonts w:ascii="Times New Roman" w:hAnsi="Times New Roman" w:cs="Times New Roman"/>
          <w:sz w:val="24"/>
          <w:szCs w:val="24"/>
        </w:rPr>
        <w:t>1178</w:t>
      </w:r>
      <w:r w:rsidR="001D7AD0">
        <w:rPr>
          <w:rFonts w:ascii="Times New Roman" w:hAnsi="Times New Roman" w:cs="Times New Roman"/>
          <w:sz w:val="24"/>
          <w:szCs w:val="24"/>
        </w:rPr>
        <w:t xml:space="preserve"> «</w:t>
      </w:r>
      <w:r w:rsidR="009A7B66" w:rsidRPr="009A7B66">
        <w:rPr>
          <w:rFonts w:ascii="Times New Roman" w:hAnsi="Times New Roman" w:cs="Times New Roman"/>
          <w:sz w:val="24"/>
          <w:szCs w:val="24"/>
        </w:rPr>
        <w:t xml:space="preserve">Про затвердження особливостей здійснення публічних </w:t>
      </w:r>
      <w:proofErr w:type="spellStart"/>
      <w:r w:rsidR="009A7B66" w:rsidRPr="009A7B66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9A7B66" w:rsidRPr="009A7B66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1D7AD0">
        <w:rPr>
          <w:rFonts w:ascii="Times New Roman" w:hAnsi="Times New Roman" w:cs="Times New Roman"/>
          <w:sz w:val="24"/>
          <w:szCs w:val="24"/>
        </w:rPr>
        <w:t>»</w:t>
      </w:r>
    </w:p>
    <w:p w:rsidR="002B06E1" w:rsidRDefault="002B06E1" w:rsidP="002B06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Повідомляємо, що </w:t>
      </w:r>
      <w:r w:rsidR="001D7AD0">
        <w:rPr>
          <w:rFonts w:ascii="Times New Roman" w:hAnsi="Times New Roman" w:cs="Times New Roman"/>
          <w:sz w:val="24"/>
          <w:szCs w:val="24"/>
        </w:rPr>
        <w:t>за 2022 рік</w:t>
      </w:r>
      <w:r>
        <w:rPr>
          <w:rFonts w:ascii="Times New Roman" w:hAnsi="Times New Roman" w:cs="Times New Roman"/>
          <w:sz w:val="24"/>
          <w:szCs w:val="24"/>
        </w:rPr>
        <w:t xml:space="preserve"> уповноваженою особою були проведені наступні </w:t>
      </w:r>
      <w:r w:rsidR="001D7AD0">
        <w:rPr>
          <w:rFonts w:ascii="Times New Roman" w:hAnsi="Times New Roman" w:cs="Times New Roman"/>
          <w:sz w:val="24"/>
          <w:szCs w:val="24"/>
        </w:rPr>
        <w:t xml:space="preserve">процедури </w:t>
      </w:r>
      <w:proofErr w:type="spellStart"/>
      <w:r w:rsidR="001D7AD0" w:rsidRPr="004A0AC4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1D7AD0" w:rsidRPr="004A0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/спрощених </w:t>
      </w:r>
      <w:proofErr w:type="spellStart"/>
      <w:r w:rsidR="001D7AD0" w:rsidRPr="004A0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а саме:</w:t>
      </w:r>
    </w:p>
    <w:p w:rsidR="001D7AD0" w:rsidRDefault="001D7AD0" w:rsidP="002B06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720" w:type="dxa"/>
        <w:jc w:val="center"/>
        <w:tblLook w:val="04A0" w:firstRow="1" w:lastRow="0" w:firstColumn="1" w:lastColumn="0" w:noHBand="0" w:noVBand="1"/>
      </w:tblPr>
      <w:tblGrid>
        <w:gridCol w:w="513"/>
        <w:gridCol w:w="1708"/>
        <w:gridCol w:w="1382"/>
        <w:gridCol w:w="1206"/>
        <w:gridCol w:w="1639"/>
        <w:gridCol w:w="1860"/>
        <w:gridCol w:w="1261"/>
        <w:gridCol w:w="1151"/>
      </w:tblGrid>
      <w:tr w:rsidR="002B06E1" w:rsidRPr="009A7B66" w:rsidTr="008959C3">
        <w:trPr>
          <w:jc w:val="center"/>
        </w:trPr>
        <w:tc>
          <w:tcPr>
            <w:tcW w:w="513" w:type="dxa"/>
          </w:tcPr>
          <w:p w:rsidR="002B06E1" w:rsidRPr="009A7B66" w:rsidRDefault="002B06E1" w:rsidP="00097C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7B6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8" w:type="dxa"/>
          </w:tcPr>
          <w:p w:rsidR="002B06E1" w:rsidRPr="009A7B66" w:rsidRDefault="002B06E1" w:rsidP="00097C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7B66">
              <w:rPr>
                <w:rFonts w:ascii="Times New Roman" w:hAnsi="Times New Roman" w:cs="Times New Roman"/>
                <w:sz w:val="20"/>
                <w:szCs w:val="20"/>
              </w:rPr>
              <w:t>Найменування товарів/послуг</w:t>
            </w:r>
          </w:p>
        </w:tc>
        <w:tc>
          <w:tcPr>
            <w:tcW w:w="1382" w:type="dxa"/>
          </w:tcPr>
          <w:p w:rsidR="002B06E1" w:rsidRPr="009A7B66" w:rsidRDefault="002B06E1" w:rsidP="00097C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7B66">
              <w:rPr>
                <w:rFonts w:ascii="Times New Roman" w:hAnsi="Times New Roman" w:cs="Times New Roman"/>
                <w:sz w:val="20"/>
                <w:szCs w:val="20"/>
              </w:rPr>
              <w:t>Орієнтована вартість</w:t>
            </w:r>
          </w:p>
        </w:tc>
        <w:tc>
          <w:tcPr>
            <w:tcW w:w="1206" w:type="dxa"/>
          </w:tcPr>
          <w:p w:rsidR="002B06E1" w:rsidRPr="009A7B66" w:rsidRDefault="002B06E1" w:rsidP="00097C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7B66">
              <w:rPr>
                <w:rFonts w:ascii="Times New Roman" w:hAnsi="Times New Roman" w:cs="Times New Roman"/>
                <w:sz w:val="20"/>
                <w:szCs w:val="20"/>
              </w:rPr>
              <w:t>Дата публікації</w:t>
            </w:r>
          </w:p>
        </w:tc>
        <w:tc>
          <w:tcPr>
            <w:tcW w:w="1639" w:type="dxa"/>
          </w:tcPr>
          <w:p w:rsidR="002B06E1" w:rsidRPr="009A7B66" w:rsidRDefault="002B06E1" w:rsidP="00097C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7B66">
              <w:rPr>
                <w:rFonts w:ascii="Times New Roman" w:hAnsi="Times New Roman" w:cs="Times New Roman"/>
                <w:sz w:val="20"/>
                <w:szCs w:val="20"/>
              </w:rPr>
              <w:t>Тип процедури</w:t>
            </w:r>
          </w:p>
        </w:tc>
        <w:tc>
          <w:tcPr>
            <w:tcW w:w="1860" w:type="dxa"/>
          </w:tcPr>
          <w:p w:rsidR="002B06E1" w:rsidRPr="009A7B66" w:rsidRDefault="002B06E1" w:rsidP="00097C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7B66">
              <w:rPr>
                <w:rFonts w:ascii="Times New Roman" w:hAnsi="Times New Roman" w:cs="Times New Roman"/>
                <w:sz w:val="20"/>
                <w:szCs w:val="20"/>
              </w:rPr>
              <w:t>Переможець</w:t>
            </w:r>
          </w:p>
        </w:tc>
        <w:tc>
          <w:tcPr>
            <w:tcW w:w="1261" w:type="dxa"/>
          </w:tcPr>
          <w:p w:rsidR="002B06E1" w:rsidRPr="009A7B66" w:rsidRDefault="002B06E1" w:rsidP="00097C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7B66">
              <w:rPr>
                <w:rFonts w:ascii="Times New Roman" w:hAnsi="Times New Roman" w:cs="Times New Roman"/>
                <w:sz w:val="20"/>
                <w:szCs w:val="20"/>
              </w:rPr>
              <w:t>Дата укладення договору</w:t>
            </w:r>
          </w:p>
        </w:tc>
        <w:tc>
          <w:tcPr>
            <w:tcW w:w="1151" w:type="dxa"/>
          </w:tcPr>
          <w:p w:rsidR="002B06E1" w:rsidRPr="009A7B66" w:rsidRDefault="002B06E1" w:rsidP="00097C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7B66">
              <w:rPr>
                <w:rFonts w:ascii="Times New Roman" w:hAnsi="Times New Roman" w:cs="Times New Roman"/>
                <w:sz w:val="20"/>
                <w:szCs w:val="20"/>
              </w:rPr>
              <w:t>Сума договору</w:t>
            </w:r>
          </w:p>
        </w:tc>
      </w:tr>
      <w:tr w:rsidR="002B06E1" w:rsidRPr="009A7B66" w:rsidTr="008959C3">
        <w:trPr>
          <w:jc w:val="center"/>
        </w:trPr>
        <w:tc>
          <w:tcPr>
            <w:tcW w:w="513" w:type="dxa"/>
          </w:tcPr>
          <w:p w:rsidR="002B06E1" w:rsidRPr="009A7B66" w:rsidRDefault="002B06E1" w:rsidP="00097C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7B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</w:tcPr>
          <w:p w:rsidR="002B06E1" w:rsidRPr="009A7B66" w:rsidRDefault="001D7AD0" w:rsidP="00097C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7B66">
              <w:rPr>
                <w:rFonts w:ascii="Times New Roman" w:hAnsi="Times New Roman" w:cs="Times New Roman"/>
                <w:sz w:val="20"/>
                <w:szCs w:val="20"/>
              </w:rPr>
              <w:t>Електрична енергія</w:t>
            </w:r>
          </w:p>
        </w:tc>
        <w:tc>
          <w:tcPr>
            <w:tcW w:w="1382" w:type="dxa"/>
          </w:tcPr>
          <w:p w:rsidR="002B06E1" w:rsidRPr="009A7B66" w:rsidRDefault="001D7AD0" w:rsidP="00097C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7B66">
              <w:rPr>
                <w:rFonts w:ascii="Times New Roman" w:hAnsi="Times New Roman" w:cs="Times New Roman"/>
                <w:sz w:val="20"/>
                <w:szCs w:val="20"/>
              </w:rPr>
              <w:t>421 200,00</w:t>
            </w:r>
          </w:p>
        </w:tc>
        <w:tc>
          <w:tcPr>
            <w:tcW w:w="1206" w:type="dxa"/>
          </w:tcPr>
          <w:p w:rsidR="002B06E1" w:rsidRPr="009A7B66" w:rsidRDefault="001D7AD0" w:rsidP="001D7A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7B66">
              <w:rPr>
                <w:rFonts w:ascii="Times New Roman" w:hAnsi="Times New Roman" w:cs="Times New Roman"/>
                <w:sz w:val="20"/>
                <w:szCs w:val="20"/>
              </w:rPr>
              <w:t>23.02.2022</w:t>
            </w:r>
          </w:p>
        </w:tc>
        <w:tc>
          <w:tcPr>
            <w:tcW w:w="1639" w:type="dxa"/>
          </w:tcPr>
          <w:p w:rsidR="002B06E1" w:rsidRPr="009A7B66" w:rsidRDefault="002B06E1" w:rsidP="00097C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7B66">
              <w:rPr>
                <w:rFonts w:ascii="Times New Roman" w:hAnsi="Times New Roman" w:cs="Times New Roman"/>
                <w:sz w:val="20"/>
                <w:szCs w:val="20"/>
              </w:rPr>
              <w:t>відкриті торги</w:t>
            </w:r>
          </w:p>
        </w:tc>
        <w:tc>
          <w:tcPr>
            <w:tcW w:w="4272" w:type="dxa"/>
            <w:gridSpan w:val="3"/>
          </w:tcPr>
          <w:p w:rsidR="002B06E1" w:rsidRPr="009A7B66" w:rsidRDefault="008959C3" w:rsidP="001D7A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7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D7AD0" w:rsidRPr="009A7B66">
              <w:rPr>
                <w:rFonts w:ascii="Times New Roman" w:hAnsi="Times New Roman" w:cs="Times New Roman"/>
                <w:sz w:val="20"/>
                <w:szCs w:val="20"/>
              </w:rPr>
              <w:t>орги не відбулися</w:t>
            </w:r>
          </w:p>
        </w:tc>
      </w:tr>
      <w:tr w:rsidR="002B06E1" w:rsidRPr="009A7B66" w:rsidTr="008959C3">
        <w:trPr>
          <w:jc w:val="center"/>
        </w:trPr>
        <w:tc>
          <w:tcPr>
            <w:tcW w:w="513" w:type="dxa"/>
          </w:tcPr>
          <w:p w:rsidR="002B06E1" w:rsidRPr="009A7B66" w:rsidRDefault="002B06E1" w:rsidP="00097C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7B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8" w:type="dxa"/>
          </w:tcPr>
          <w:p w:rsidR="002B06E1" w:rsidRPr="009A7B66" w:rsidRDefault="001D7AD0" w:rsidP="00097C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7B66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1382" w:type="dxa"/>
          </w:tcPr>
          <w:p w:rsidR="002B06E1" w:rsidRPr="009A7B66" w:rsidRDefault="001D7AD0" w:rsidP="00097C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7B66">
              <w:rPr>
                <w:rFonts w:ascii="Times New Roman" w:hAnsi="Times New Roman" w:cs="Times New Roman"/>
                <w:sz w:val="20"/>
                <w:szCs w:val="20"/>
              </w:rPr>
              <w:t>248 308,35</w:t>
            </w:r>
          </w:p>
        </w:tc>
        <w:tc>
          <w:tcPr>
            <w:tcW w:w="1206" w:type="dxa"/>
          </w:tcPr>
          <w:p w:rsidR="002B06E1" w:rsidRPr="009A7B66" w:rsidRDefault="001D7AD0" w:rsidP="001D7A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7B66">
              <w:rPr>
                <w:rFonts w:ascii="Times New Roman" w:hAnsi="Times New Roman" w:cs="Times New Roman"/>
                <w:sz w:val="20"/>
                <w:szCs w:val="20"/>
              </w:rPr>
              <w:t>31.10.2022</w:t>
            </w:r>
          </w:p>
        </w:tc>
        <w:tc>
          <w:tcPr>
            <w:tcW w:w="1639" w:type="dxa"/>
          </w:tcPr>
          <w:p w:rsidR="002B06E1" w:rsidRPr="009A7B66" w:rsidRDefault="001D7AD0" w:rsidP="00097C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7B66">
              <w:rPr>
                <w:rFonts w:ascii="Times New Roman" w:hAnsi="Times New Roman" w:cs="Times New Roman"/>
                <w:sz w:val="20"/>
                <w:szCs w:val="20"/>
              </w:rPr>
              <w:t>відкриті торги з особливостями</w:t>
            </w:r>
          </w:p>
        </w:tc>
        <w:tc>
          <w:tcPr>
            <w:tcW w:w="4272" w:type="dxa"/>
            <w:gridSpan w:val="3"/>
          </w:tcPr>
          <w:p w:rsidR="002B06E1" w:rsidRPr="009A7B66" w:rsidRDefault="008959C3" w:rsidP="00097C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7B66">
              <w:rPr>
                <w:rFonts w:ascii="Times New Roman" w:hAnsi="Times New Roman" w:cs="Times New Roman"/>
                <w:sz w:val="20"/>
                <w:szCs w:val="20"/>
              </w:rPr>
              <w:t>торги не відбулися</w:t>
            </w:r>
          </w:p>
        </w:tc>
      </w:tr>
    </w:tbl>
    <w:p w:rsidR="002B06E1" w:rsidRDefault="002B06E1" w:rsidP="002B06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215" w:rsidRDefault="00587215">
      <w:r>
        <w:br w:type="page"/>
      </w:r>
      <w:bookmarkStart w:id="0" w:name="_GoBack"/>
      <w:bookmarkEnd w:id="0"/>
    </w:p>
    <w:sectPr w:rsidR="005872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CA"/>
    <w:rsid w:val="001D7AD0"/>
    <w:rsid w:val="002B06E1"/>
    <w:rsid w:val="003D5714"/>
    <w:rsid w:val="00481019"/>
    <w:rsid w:val="004A0AC4"/>
    <w:rsid w:val="00587215"/>
    <w:rsid w:val="00742086"/>
    <w:rsid w:val="008676A2"/>
    <w:rsid w:val="008959C3"/>
    <w:rsid w:val="009A7B66"/>
    <w:rsid w:val="00B864CA"/>
    <w:rsid w:val="00CD3A5B"/>
    <w:rsid w:val="00D6237E"/>
    <w:rsid w:val="00F257CA"/>
    <w:rsid w:val="00F6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7C630-3CED-41E7-BDFB-36389801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A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uiPriority w:val="22"/>
    <w:qFormat/>
    <w:rsid w:val="00F257CA"/>
    <w:rPr>
      <w:b/>
      <w:bCs/>
    </w:rPr>
  </w:style>
  <w:style w:type="character" w:styleId="a5">
    <w:name w:val="Hyperlink"/>
    <w:basedOn w:val="a0"/>
    <w:uiPriority w:val="99"/>
    <w:unhideWhenUsed/>
    <w:rsid w:val="00F257CA"/>
    <w:rPr>
      <w:color w:val="0000FF"/>
      <w:u w:val="single"/>
    </w:rPr>
  </w:style>
  <w:style w:type="paragraph" w:customStyle="1" w:styleId="tendercompanynamezpwmi">
    <w:name w:val="tender__companyname__zpwmi"/>
    <w:basedOn w:val="a"/>
    <w:rsid w:val="00F2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enderpseudolinkzz3a2">
    <w:name w:val="tender__pseudolink__zz3a2"/>
    <w:basedOn w:val="a0"/>
    <w:rsid w:val="00F257CA"/>
  </w:style>
  <w:style w:type="paragraph" w:customStyle="1" w:styleId="tendertuidwrapperghy4">
    <w:name w:val="tender__tuidwrapper__g_hy4"/>
    <w:basedOn w:val="a"/>
    <w:rsid w:val="00F2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endertuid2nhc4">
    <w:name w:val="tender__tuid__2nhc4"/>
    <w:basedOn w:val="a0"/>
    <w:rsid w:val="00F257CA"/>
  </w:style>
  <w:style w:type="table" w:styleId="a6">
    <w:name w:val="Table Grid"/>
    <w:basedOn w:val="a1"/>
    <w:uiPriority w:val="59"/>
    <w:rsid w:val="00F2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6099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3D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71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D7A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Бешевец</cp:lastModifiedBy>
  <cp:revision>3</cp:revision>
  <cp:lastPrinted>2021-07-21T18:00:00Z</cp:lastPrinted>
  <dcterms:created xsi:type="dcterms:W3CDTF">2024-02-07T13:35:00Z</dcterms:created>
  <dcterms:modified xsi:type="dcterms:W3CDTF">2024-02-08T11:48:00Z</dcterms:modified>
</cp:coreProperties>
</file>